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48C9D6" w14:textId="7CA55FEE" w:rsidR="0095208B" w:rsidRPr="00805CCC" w:rsidRDefault="0095208B" w:rsidP="00805CCC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 xml:space="preserve">Bogotá D.C., </w:t>
      </w:r>
      <w:r w:rsidR="00805CCC">
        <w:rPr>
          <w:rFonts w:ascii="Arial" w:hAnsi="Arial" w:cs="Arial"/>
          <w:sz w:val="24"/>
          <w:szCs w:val="24"/>
          <w:lang w:eastAsia="es-CO"/>
        </w:rPr>
        <w:t>27</w:t>
      </w:r>
      <w:r w:rsidRPr="00805CCC">
        <w:rPr>
          <w:rFonts w:ascii="Arial" w:hAnsi="Arial" w:cs="Arial"/>
          <w:sz w:val="24"/>
          <w:szCs w:val="24"/>
          <w:lang w:eastAsia="es-CO"/>
        </w:rPr>
        <w:t xml:space="preserve"> de </w:t>
      </w:r>
      <w:proofErr w:type="gramStart"/>
      <w:r w:rsidRPr="00805CCC">
        <w:rPr>
          <w:rFonts w:ascii="Arial" w:hAnsi="Arial" w:cs="Arial"/>
          <w:sz w:val="24"/>
          <w:szCs w:val="24"/>
          <w:lang w:eastAsia="es-CO"/>
        </w:rPr>
        <w:t>Mayo</w:t>
      </w:r>
      <w:proofErr w:type="gramEnd"/>
      <w:r w:rsidRPr="00805CCC">
        <w:rPr>
          <w:rFonts w:ascii="Arial" w:hAnsi="Arial" w:cs="Arial"/>
          <w:sz w:val="24"/>
          <w:szCs w:val="24"/>
          <w:lang w:eastAsia="es-CO"/>
        </w:rPr>
        <w:t xml:space="preserve"> de 2026.</w:t>
      </w:r>
    </w:p>
    <w:p w14:paraId="0D7578D6" w14:textId="77777777" w:rsidR="0095208B" w:rsidRPr="00805CCC" w:rsidRDefault="0095208B" w:rsidP="00805CC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Doctor</w:t>
      </w:r>
      <w:r w:rsidRPr="00805CCC">
        <w:rPr>
          <w:rFonts w:ascii="Arial" w:hAnsi="Arial" w:cs="Arial"/>
          <w:sz w:val="24"/>
          <w:szCs w:val="24"/>
          <w:lang w:eastAsia="es-CO"/>
        </w:rPr>
        <w:br/>
      </w:r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>VICTOR HUGO HUERTAS PRADA</w:t>
      </w:r>
    </w:p>
    <w:p w14:paraId="322D9D05" w14:textId="77777777" w:rsidR="00064707" w:rsidRPr="00805CCC" w:rsidRDefault="0095208B" w:rsidP="00805CC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Alcalde Local de Engativá</w:t>
      </w:r>
    </w:p>
    <w:p w14:paraId="5F73DD79" w14:textId="7691935B" w:rsidR="0095208B" w:rsidRPr="00805CCC" w:rsidRDefault="00000000" w:rsidP="00805CC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hyperlink r:id="rId7" w:history="1">
        <w:r w:rsidR="00064707" w:rsidRPr="00805CCC">
          <w:rPr>
            <w:rStyle w:val="Hipervnculo"/>
            <w:rFonts w:ascii="Arial" w:hAnsi="Arial" w:cs="Arial"/>
            <w:sz w:val="24"/>
            <w:szCs w:val="24"/>
            <w:lang w:eastAsia="es-CO"/>
          </w:rPr>
          <w:t>cdi.engativa@gobiernobogota.gov.co</w:t>
        </w:r>
      </w:hyperlink>
    </w:p>
    <w:p w14:paraId="7F99C393" w14:textId="77777777" w:rsidR="00805CCC" w:rsidRPr="00805CCC" w:rsidRDefault="00805CCC" w:rsidP="00805CCC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>ASUNTO: Requerimiento de información, remisión documental y cargue en SECOP II – Acción de Prevención y Control – “VEEDURÍA PARQUES DE LA RED DE PROXIMIDAD”.</w:t>
      </w:r>
    </w:p>
    <w:p w14:paraId="48F0CF18" w14:textId="77777777" w:rsidR="00805CCC" w:rsidRPr="00805CCC" w:rsidRDefault="00805CCC" w:rsidP="00805CCC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Respetado Doctor:</w:t>
      </w:r>
    </w:p>
    <w:p w14:paraId="5945ACC0" w14:textId="77777777" w:rsidR="00805CCC" w:rsidRPr="00805CCC" w:rsidRDefault="00805CCC" w:rsidP="00805CCC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 xml:space="preserve">En ejercicio de las funciones constitucionales y legales asignadas a la Personería de Bogotá D.C., particularmente aquellas relacionadas con la vigilancia de la gestión pública, la protección del interés general y la prevención del daño antijurídico al patrimonio público, esta Personería Local adelanta Acción de Prevención y Control denominada </w:t>
      </w:r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>“VEEDURÍA PARQUES DE LA RED DE PROXIMIDAD”</w:t>
      </w:r>
      <w:r w:rsidRPr="00805CCC">
        <w:rPr>
          <w:rFonts w:ascii="Arial" w:hAnsi="Arial" w:cs="Arial"/>
          <w:sz w:val="24"/>
          <w:szCs w:val="24"/>
          <w:lang w:eastAsia="es-CO"/>
        </w:rPr>
        <w:t xml:space="preserve">, con fundamento en la información publicada en el aplicativo </w:t>
      </w:r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>SECOP II</w:t>
      </w:r>
      <w:r w:rsidRPr="00805CCC">
        <w:rPr>
          <w:rFonts w:ascii="Arial" w:hAnsi="Arial" w:cs="Arial"/>
          <w:sz w:val="24"/>
          <w:szCs w:val="24"/>
          <w:lang w:eastAsia="es-CO"/>
        </w:rPr>
        <w:t xml:space="preserve"> y demás información asociada a las metas relacionadas con parques vecinales y de bolsillo de la localidad de Engativá.</w:t>
      </w:r>
    </w:p>
    <w:p w14:paraId="61012434" w14:textId="77777777" w:rsidR="00805CCC" w:rsidRPr="00805CCC" w:rsidRDefault="00805CCC" w:rsidP="00805CCC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 xml:space="preserve">La presente actuación preventiva tiene por objeto efectuar seguimiento a la gestión adelantada por el Fondo de Desarrollo Local frente al cumplimiento de las metas del Plan de Desarrollo Local relacionadas con la </w:t>
      </w:r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>construcción, intervención, mejoramiento, mantenimiento y/o dotación de parques vecinales y de bolsillo</w:t>
      </w:r>
      <w:r w:rsidRPr="00805CCC">
        <w:rPr>
          <w:rFonts w:ascii="Arial" w:hAnsi="Arial" w:cs="Arial"/>
          <w:sz w:val="24"/>
          <w:szCs w:val="24"/>
          <w:lang w:eastAsia="es-CO"/>
        </w:rPr>
        <w:t xml:space="preserve"> durante las vigencias 2024, 2025 y lo corrido de 2026, incluyendo el análisis técnico, presupuestal, contractual y documental de las actuaciones adelantadas por la administración local.</w:t>
      </w:r>
    </w:p>
    <w:p w14:paraId="03D6D2A9" w14:textId="77777777" w:rsidR="00805CCC" w:rsidRPr="00805CCC" w:rsidRDefault="00805CCC" w:rsidP="00805CCC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En ese sentido, la presente veeduría se desarrollará particularmente sobre los siguientes componentes:</w:t>
      </w:r>
    </w:p>
    <w:p w14:paraId="635C42DB" w14:textId="77777777" w:rsidR="00805CCC" w:rsidRPr="00805CCC" w:rsidRDefault="00805CCC" w:rsidP="00805CCC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 xml:space="preserve">• </w:t>
      </w:r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>Seguimiento a las metas e indicadores del Plan de Desarrollo Local asociados a parques vecinales y de bolsillo.</w:t>
      </w:r>
    </w:p>
    <w:p w14:paraId="657DC4DE" w14:textId="77777777" w:rsidR="00805CCC" w:rsidRPr="00805CCC" w:rsidRDefault="00805CCC" w:rsidP="00805CCC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 xml:space="preserve">• </w:t>
      </w:r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>Revisión de la ejecución presupuestal y financiera de los recursos destinados para construcción, intervención, mejoramiento, mantenimiento y dotación de parques.</w:t>
      </w:r>
    </w:p>
    <w:p w14:paraId="24F65569" w14:textId="77777777" w:rsidR="00805CCC" w:rsidRPr="00805CCC" w:rsidRDefault="00805CCC" w:rsidP="00805CCC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 xml:space="preserve">• </w:t>
      </w:r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>Análisis de los criterios técnicos, sociales y territoriales utilizados para la priorización e intervención de parques.</w:t>
      </w:r>
    </w:p>
    <w:p w14:paraId="1937720A" w14:textId="77777777" w:rsidR="00805CCC" w:rsidRPr="00805CCC" w:rsidRDefault="00805CCC" w:rsidP="00805CCC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lastRenderedPageBreak/>
        <w:t xml:space="preserve">• </w:t>
      </w:r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 xml:space="preserve">Revisión integral de los procesos contractuales adelantados para la ejecución de las metas relacionadas con parques, incluyendo sus </w:t>
      </w:r>
      <w:proofErr w:type="gramStart"/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>etapas precontractual</w:t>
      </w:r>
      <w:proofErr w:type="gramEnd"/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 xml:space="preserve">, contractual y </w:t>
      </w:r>
      <w:proofErr w:type="spellStart"/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>poscontractual</w:t>
      </w:r>
      <w:proofErr w:type="spellEnd"/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>.</w:t>
      </w:r>
    </w:p>
    <w:p w14:paraId="7F1EBBC0" w14:textId="77777777" w:rsidR="00805CCC" w:rsidRPr="00805CCC" w:rsidRDefault="00805CCC" w:rsidP="00805CCC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 xml:space="preserve">• </w:t>
      </w:r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>Seguimiento a la trazabilidad documental, publicidad contractual y cargue de soportes en SECOP II.</w:t>
      </w:r>
    </w:p>
    <w:p w14:paraId="5915B7F3" w14:textId="77777777" w:rsidR="00805CCC" w:rsidRPr="00805CCC" w:rsidRDefault="00805CCC" w:rsidP="00805CCC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Como resultado de la revisión preliminar efectuada por esta Personería Local, se evidenció la necesidad de consolidar información técnica, presupuestal, contractual y documental asociada a las metas y contratos relacionados con parques vecinales y de bolsillo, con el fin de garantizar la adecuada trazabilidad documental, seguimiento a la inversión pública y análisis de las actuaciones adelantadas por la Entidad.</w:t>
      </w:r>
    </w:p>
    <w:p w14:paraId="313EC137" w14:textId="77777777" w:rsidR="00805CCC" w:rsidRPr="00805CCC" w:rsidRDefault="00805CCC" w:rsidP="00805CCC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 xml:space="preserve">En ese sentido, y teniendo en cuenta que la publicidad, integridad y trazabilidad documental constituyen obligaciones inherentes a la gestión contractual y administrativa de las entidades públicas, así como elementos esenciales para garantizar los principios de transparencia, publicidad, responsabilidad y acceso a la información pública, se requiere a la Entidad para que </w:t>
      </w:r>
      <w:proofErr w:type="spellStart"/>
      <w:r w:rsidRPr="00805CCC">
        <w:rPr>
          <w:rFonts w:ascii="Arial" w:hAnsi="Arial" w:cs="Arial"/>
          <w:sz w:val="24"/>
          <w:szCs w:val="24"/>
          <w:lang w:eastAsia="es-CO"/>
        </w:rPr>
        <w:t>allegue</w:t>
      </w:r>
      <w:proofErr w:type="spellEnd"/>
      <w:r w:rsidRPr="00805CCC">
        <w:rPr>
          <w:rFonts w:ascii="Arial" w:hAnsi="Arial" w:cs="Arial"/>
          <w:sz w:val="24"/>
          <w:szCs w:val="24"/>
          <w:lang w:eastAsia="es-CO"/>
        </w:rPr>
        <w:t xml:space="preserve"> a esta Personería Local y, adicionalmente, proceda a realizar el correspondiente cargue en </w:t>
      </w:r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>SECOP II</w:t>
      </w:r>
      <w:r w:rsidRPr="00805CCC">
        <w:rPr>
          <w:rFonts w:ascii="Arial" w:hAnsi="Arial" w:cs="Arial"/>
          <w:sz w:val="24"/>
          <w:szCs w:val="24"/>
          <w:lang w:eastAsia="es-CO"/>
        </w:rPr>
        <w:t xml:space="preserve"> de la totalidad de la información y documentación relacionada con las metas, proyectos, contratos e intervenciones objeto de la presente actuación preventiva, incluyendo especialmente:</w:t>
      </w:r>
    </w:p>
    <w:p w14:paraId="4F872FF3" w14:textId="77777777" w:rsidR="00805CCC" w:rsidRPr="00805CCC" w:rsidRDefault="00805CCC" w:rsidP="00805CCC">
      <w:pPr>
        <w:spacing w:before="100" w:beforeAutospacing="1" w:after="100" w:afterAutospacing="1" w:line="240" w:lineRule="auto"/>
        <w:jc w:val="both"/>
        <w:outlineLvl w:val="1"/>
        <w:rPr>
          <w:rFonts w:ascii="Arial" w:hAnsi="Arial" w:cs="Arial"/>
          <w:b/>
          <w:bCs/>
          <w:sz w:val="24"/>
          <w:szCs w:val="24"/>
          <w:lang w:eastAsia="es-CO"/>
        </w:rPr>
      </w:pPr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>I. INFORMACIÓN GENERAL Y DE PLANEACIÓN</w:t>
      </w:r>
    </w:p>
    <w:p w14:paraId="3013D6FD" w14:textId="77777777" w:rsidR="00805CCC" w:rsidRDefault="00805CCC" w:rsidP="00805CCC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>1.</w:t>
      </w:r>
      <w:r w:rsidRPr="00805CCC">
        <w:rPr>
          <w:rFonts w:ascii="Arial" w:hAnsi="Arial" w:cs="Arial"/>
          <w:sz w:val="24"/>
          <w:szCs w:val="24"/>
          <w:lang w:eastAsia="es-CO"/>
        </w:rPr>
        <w:t xml:space="preserve"> Metas del Plan de Desarrollo Local relacionadas con construcción, intervención, mejoramiento, mantenimiento y/o dotación de parques vecinales y de bolsillo, indicando:</w:t>
      </w:r>
    </w:p>
    <w:p w14:paraId="455DB201" w14:textId="77777777" w:rsidR="00805CCC" w:rsidRDefault="00805CCC" w:rsidP="00805CCC">
      <w:pPr>
        <w:pStyle w:val="Prrafodelista"/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indicadores,</w:t>
      </w:r>
    </w:p>
    <w:p w14:paraId="3CC041BD" w14:textId="77777777" w:rsidR="00805CCC" w:rsidRDefault="00805CCC" w:rsidP="00805CCC">
      <w:pPr>
        <w:pStyle w:val="Prrafodelista"/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magnitudes,</w:t>
      </w:r>
    </w:p>
    <w:p w14:paraId="616C0B3F" w14:textId="08F86826" w:rsidR="00805CCC" w:rsidRDefault="00805CCC" w:rsidP="00805CCC">
      <w:pPr>
        <w:pStyle w:val="Prrafodelista"/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programación por vigencia,</w:t>
      </w:r>
    </w:p>
    <w:p w14:paraId="1047565F" w14:textId="6888C149" w:rsidR="00805CCC" w:rsidRPr="00805CCC" w:rsidRDefault="00805CCC" w:rsidP="00805CCC">
      <w:pPr>
        <w:pStyle w:val="Prrafodelista"/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porcentaje de avance físico y presupuestal.</w:t>
      </w:r>
    </w:p>
    <w:p w14:paraId="1BC92CDE" w14:textId="77777777" w:rsidR="00805CCC" w:rsidRPr="00805CCC" w:rsidRDefault="00805CCC" w:rsidP="00805CCC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>2.</w:t>
      </w:r>
      <w:r w:rsidRPr="00805CCC">
        <w:rPr>
          <w:rFonts w:ascii="Arial" w:hAnsi="Arial" w:cs="Arial"/>
          <w:sz w:val="24"/>
          <w:szCs w:val="24"/>
          <w:lang w:eastAsia="es-CO"/>
        </w:rPr>
        <w:t xml:space="preserve"> Proyectos de inversión asociados y fichas EBI correspondientes.</w:t>
      </w:r>
    </w:p>
    <w:p w14:paraId="78603D28" w14:textId="77777777" w:rsidR="00805CCC" w:rsidRPr="00805CCC" w:rsidRDefault="00805CCC" w:rsidP="00805CCC">
      <w:pPr>
        <w:spacing w:before="100" w:beforeAutospacing="1" w:after="100" w:afterAutospacing="1" w:line="240" w:lineRule="auto"/>
        <w:jc w:val="both"/>
        <w:outlineLvl w:val="1"/>
        <w:rPr>
          <w:rFonts w:ascii="Arial" w:hAnsi="Arial" w:cs="Arial"/>
          <w:b/>
          <w:bCs/>
          <w:sz w:val="24"/>
          <w:szCs w:val="24"/>
          <w:lang w:eastAsia="es-CO"/>
        </w:rPr>
      </w:pPr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>II. INFORMACIÓN PRESUPUESTAL Y FINANCIERA</w:t>
      </w:r>
    </w:p>
    <w:p w14:paraId="66EADE71" w14:textId="77777777" w:rsidR="00805CCC" w:rsidRDefault="00805CCC" w:rsidP="00805CCC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>3.</w:t>
      </w:r>
      <w:r w:rsidRPr="00805CCC">
        <w:rPr>
          <w:rFonts w:ascii="Arial" w:hAnsi="Arial" w:cs="Arial"/>
          <w:sz w:val="24"/>
          <w:szCs w:val="24"/>
          <w:lang w:eastAsia="es-CO"/>
        </w:rPr>
        <w:t xml:space="preserve"> Información presupuestal y financiera asociada a las metas y proyectos objeto de revisión, incluyendo:</w:t>
      </w:r>
    </w:p>
    <w:p w14:paraId="034CAFBF" w14:textId="77777777" w:rsidR="00805CCC" w:rsidRDefault="00805CCC" w:rsidP="00805CCC">
      <w:pPr>
        <w:pStyle w:val="Prrafodelista"/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lastRenderedPageBreak/>
        <w:t>CDP,</w:t>
      </w:r>
    </w:p>
    <w:p w14:paraId="1AC16AA5" w14:textId="77777777" w:rsidR="00805CCC" w:rsidRDefault="00805CCC" w:rsidP="00805CCC">
      <w:pPr>
        <w:pStyle w:val="Prrafodelista"/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CRP,</w:t>
      </w:r>
    </w:p>
    <w:p w14:paraId="03BBA92E" w14:textId="77777777" w:rsidR="00805CCC" w:rsidRDefault="00805CCC" w:rsidP="00805CCC">
      <w:pPr>
        <w:pStyle w:val="Prrafodelista"/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obligaciones,</w:t>
      </w:r>
    </w:p>
    <w:p w14:paraId="178D15D1" w14:textId="77777777" w:rsidR="00805CCC" w:rsidRDefault="00805CCC" w:rsidP="00805CCC">
      <w:pPr>
        <w:pStyle w:val="Prrafodelista"/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pagos,</w:t>
      </w:r>
    </w:p>
    <w:p w14:paraId="34BD7EDA" w14:textId="77777777" w:rsidR="00805CCC" w:rsidRDefault="00805CCC" w:rsidP="00805CCC">
      <w:pPr>
        <w:pStyle w:val="Prrafodelista"/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reservas,</w:t>
      </w:r>
    </w:p>
    <w:p w14:paraId="46DA4000" w14:textId="77777777" w:rsidR="00805CCC" w:rsidRDefault="00805CCC" w:rsidP="00805CCC">
      <w:pPr>
        <w:pStyle w:val="Prrafodelista"/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ejecución presupuestal,</w:t>
      </w:r>
    </w:p>
    <w:p w14:paraId="1F171681" w14:textId="1228EB5E" w:rsidR="00805CCC" w:rsidRPr="00805CCC" w:rsidRDefault="00805CCC" w:rsidP="00805CCC">
      <w:pPr>
        <w:pStyle w:val="Prrafodelista"/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ejecución financiera por contrato y por meta.</w:t>
      </w:r>
    </w:p>
    <w:p w14:paraId="155C4881" w14:textId="77777777" w:rsidR="00805CCC" w:rsidRPr="00805CCC" w:rsidRDefault="00805CCC" w:rsidP="00805CCC">
      <w:pPr>
        <w:spacing w:before="100" w:beforeAutospacing="1" w:after="100" w:afterAutospacing="1" w:line="240" w:lineRule="auto"/>
        <w:jc w:val="both"/>
        <w:outlineLvl w:val="1"/>
        <w:rPr>
          <w:rFonts w:ascii="Arial" w:hAnsi="Arial" w:cs="Arial"/>
          <w:b/>
          <w:bCs/>
          <w:sz w:val="24"/>
          <w:szCs w:val="24"/>
          <w:lang w:eastAsia="es-CO"/>
        </w:rPr>
      </w:pPr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>III. INFORMACIÓN CONTRACTUAL Y DOCUMENTAL</w:t>
      </w:r>
    </w:p>
    <w:p w14:paraId="748D300F" w14:textId="77777777" w:rsidR="00805CCC" w:rsidRDefault="00805CCC" w:rsidP="00805CCC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>4.</w:t>
      </w:r>
      <w:r w:rsidRPr="00805CCC">
        <w:rPr>
          <w:rFonts w:ascii="Arial" w:hAnsi="Arial" w:cs="Arial"/>
          <w:sz w:val="24"/>
          <w:szCs w:val="24"/>
          <w:lang w:eastAsia="es-CO"/>
        </w:rPr>
        <w:t xml:space="preserve"> Relación de los contratos suscritos para la ejecución de intervenciones sobre parques vecinales y de bolsillo, indicando:</w:t>
      </w:r>
    </w:p>
    <w:p w14:paraId="2F685393" w14:textId="77777777" w:rsidR="00805CCC" w:rsidRDefault="00805CCC" w:rsidP="00805CCC">
      <w:pPr>
        <w:pStyle w:val="Prrafodelista"/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número de contrato,</w:t>
      </w:r>
    </w:p>
    <w:p w14:paraId="27BDF618" w14:textId="77777777" w:rsidR="00805CCC" w:rsidRDefault="00805CCC" w:rsidP="00805CCC">
      <w:pPr>
        <w:pStyle w:val="Prrafodelista"/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objeto,</w:t>
      </w:r>
    </w:p>
    <w:p w14:paraId="587BBE3A" w14:textId="77777777" w:rsidR="00805CCC" w:rsidRDefault="00805CCC" w:rsidP="00805CCC">
      <w:pPr>
        <w:pStyle w:val="Prrafodelista"/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contratista,</w:t>
      </w:r>
    </w:p>
    <w:p w14:paraId="0988997D" w14:textId="77777777" w:rsidR="00805CCC" w:rsidRDefault="00805CCC" w:rsidP="00805CCC">
      <w:pPr>
        <w:pStyle w:val="Prrafodelista"/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supervisor,</w:t>
      </w:r>
    </w:p>
    <w:p w14:paraId="23EC089D" w14:textId="77777777" w:rsidR="00805CCC" w:rsidRDefault="00805CCC" w:rsidP="00805CCC">
      <w:pPr>
        <w:pStyle w:val="Prrafodelista"/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interventor,</w:t>
      </w:r>
    </w:p>
    <w:p w14:paraId="3074820F" w14:textId="77777777" w:rsidR="00805CCC" w:rsidRDefault="00805CCC" w:rsidP="00805CCC">
      <w:pPr>
        <w:pStyle w:val="Prrafodelista"/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valor,</w:t>
      </w:r>
    </w:p>
    <w:p w14:paraId="54A1AFB7" w14:textId="77777777" w:rsidR="00805CCC" w:rsidRDefault="00805CCC" w:rsidP="00805CCC">
      <w:pPr>
        <w:pStyle w:val="Prrafodelista"/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adiciones,</w:t>
      </w:r>
    </w:p>
    <w:p w14:paraId="1041EDFC" w14:textId="77777777" w:rsidR="00805CCC" w:rsidRDefault="00805CCC" w:rsidP="00805CCC">
      <w:pPr>
        <w:pStyle w:val="Prrafodelista"/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prórrogas,</w:t>
      </w:r>
    </w:p>
    <w:p w14:paraId="5076C3FE" w14:textId="77777777" w:rsidR="00805CCC" w:rsidRDefault="00805CCC" w:rsidP="00805CCC">
      <w:pPr>
        <w:pStyle w:val="Prrafodelista"/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suspensiones,</w:t>
      </w:r>
    </w:p>
    <w:p w14:paraId="511670D1" w14:textId="77777777" w:rsidR="00805CCC" w:rsidRDefault="00805CCC" w:rsidP="00805CCC">
      <w:pPr>
        <w:pStyle w:val="Prrafodelista"/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porcentaje de ejecución</w:t>
      </w:r>
    </w:p>
    <w:p w14:paraId="3EAF965B" w14:textId="77777777" w:rsidR="00805CCC" w:rsidRDefault="00805CCC" w:rsidP="00805CCC">
      <w:pPr>
        <w:pStyle w:val="Prrafodelista"/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estado actual,</w:t>
      </w:r>
    </w:p>
    <w:p w14:paraId="10563D88" w14:textId="7CB81FF9" w:rsidR="00805CCC" w:rsidRPr="00805CCC" w:rsidRDefault="00805CCC" w:rsidP="00805CCC">
      <w:pPr>
        <w:pStyle w:val="Prrafodelista"/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enlace SECOP II.</w:t>
      </w:r>
    </w:p>
    <w:p w14:paraId="2DC4D83F" w14:textId="77777777" w:rsidR="00805CCC" w:rsidRDefault="00805CCC" w:rsidP="00805CCC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>5.</w:t>
      </w:r>
      <w:r w:rsidRPr="00805CCC">
        <w:rPr>
          <w:rFonts w:ascii="Arial" w:hAnsi="Arial" w:cs="Arial"/>
          <w:sz w:val="24"/>
          <w:szCs w:val="24"/>
          <w:lang w:eastAsia="es-CO"/>
        </w:rPr>
        <w:t xml:space="preserve"> Expediente contractual completo de los procesos relacionados con las metas objeto de revisión, incluyendo la totalidad de documentos correspondientes a las etapas precontractual, contractual y </w:t>
      </w:r>
      <w:proofErr w:type="spellStart"/>
      <w:r w:rsidRPr="00805CCC">
        <w:rPr>
          <w:rFonts w:ascii="Arial" w:hAnsi="Arial" w:cs="Arial"/>
          <w:sz w:val="24"/>
          <w:szCs w:val="24"/>
          <w:lang w:eastAsia="es-CO"/>
        </w:rPr>
        <w:t>poscontractual</w:t>
      </w:r>
      <w:proofErr w:type="spellEnd"/>
      <w:r w:rsidRPr="00805CCC">
        <w:rPr>
          <w:rFonts w:ascii="Arial" w:hAnsi="Arial" w:cs="Arial"/>
          <w:sz w:val="24"/>
          <w:szCs w:val="24"/>
          <w:lang w:eastAsia="es-CO"/>
        </w:rPr>
        <w:t>, así como:</w:t>
      </w:r>
    </w:p>
    <w:p w14:paraId="173E3963" w14:textId="77777777" w:rsidR="00805CCC" w:rsidRDefault="00805CCC" w:rsidP="00805CCC">
      <w:pPr>
        <w:pStyle w:val="Prrafodelista"/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estudio</w:t>
      </w:r>
      <w:r>
        <w:rPr>
          <w:rFonts w:ascii="Arial" w:hAnsi="Arial" w:cs="Arial"/>
          <w:sz w:val="24"/>
          <w:szCs w:val="24"/>
          <w:lang w:eastAsia="es-CO"/>
        </w:rPr>
        <w:t xml:space="preserve">s </w:t>
      </w:r>
      <w:r w:rsidRPr="00805CCC">
        <w:rPr>
          <w:rFonts w:ascii="Arial" w:hAnsi="Arial" w:cs="Arial"/>
          <w:sz w:val="24"/>
          <w:szCs w:val="24"/>
          <w:lang w:eastAsia="es-CO"/>
        </w:rPr>
        <w:t>previos,</w:t>
      </w:r>
    </w:p>
    <w:p w14:paraId="18797378" w14:textId="77777777" w:rsidR="00805CCC" w:rsidRDefault="00805CCC" w:rsidP="00805CCC">
      <w:pPr>
        <w:pStyle w:val="Prrafodelista"/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análisis del sector</w:t>
      </w:r>
    </w:p>
    <w:p w14:paraId="6E0F9D60" w14:textId="77777777" w:rsidR="00805CCC" w:rsidRDefault="00805CCC" w:rsidP="00805CCC">
      <w:pPr>
        <w:pStyle w:val="Prrafodelista"/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actas,</w:t>
      </w:r>
    </w:p>
    <w:p w14:paraId="2A60AB9C" w14:textId="77777777" w:rsidR="00805CCC" w:rsidRDefault="00805CCC" w:rsidP="00805CCC">
      <w:pPr>
        <w:pStyle w:val="Prrafodelista"/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informes de supervisión e interventoría,</w:t>
      </w:r>
    </w:p>
    <w:p w14:paraId="7DF37E3C" w14:textId="77777777" w:rsidR="00805CCC" w:rsidRDefault="00805CCC" w:rsidP="00805CCC">
      <w:pPr>
        <w:pStyle w:val="Prrafodelista"/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soportes financieros,</w:t>
      </w:r>
    </w:p>
    <w:p w14:paraId="4E9CAF6F" w14:textId="77777777" w:rsidR="00805CCC" w:rsidRDefault="00805CCC" w:rsidP="00805CCC">
      <w:pPr>
        <w:pStyle w:val="Prrafodelista"/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informes técnicos,</w:t>
      </w:r>
    </w:p>
    <w:p w14:paraId="215A0360" w14:textId="77777777" w:rsidR="00805CCC" w:rsidRDefault="00805CCC" w:rsidP="00805CCC">
      <w:pPr>
        <w:pStyle w:val="Prrafodelista"/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pólizas,</w:t>
      </w:r>
    </w:p>
    <w:p w14:paraId="1F1D5F8B" w14:textId="77777777" w:rsidR="00805CCC" w:rsidRDefault="00805CCC" w:rsidP="00805CCC">
      <w:pPr>
        <w:pStyle w:val="Prrafodelista"/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actas de recibo,</w:t>
      </w:r>
    </w:p>
    <w:p w14:paraId="49ECE22C" w14:textId="77777777" w:rsidR="00805CCC" w:rsidRDefault="00805CCC" w:rsidP="00805CCC">
      <w:pPr>
        <w:pStyle w:val="Prrafodelista"/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lastRenderedPageBreak/>
        <w:t>actas de liquidación,</w:t>
      </w:r>
    </w:p>
    <w:p w14:paraId="4DE61BC7" w14:textId="77777777" w:rsidR="00805CCC" w:rsidRDefault="00805CCC" w:rsidP="00805CCC">
      <w:pPr>
        <w:pStyle w:val="Prrafodelista"/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cronogramas,</w:t>
      </w:r>
    </w:p>
    <w:p w14:paraId="596DD8CF" w14:textId="77777777" w:rsidR="00805CCC" w:rsidRDefault="00805CCC" w:rsidP="00805CCC">
      <w:pPr>
        <w:pStyle w:val="Prrafodelista"/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diseños,</w:t>
      </w:r>
    </w:p>
    <w:p w14:paraId="1B29CB0C" w14:textId="77777777" w:rsidR="00805CCC" w:rsidRDefault="00805CCC" w:rsidP="00805CCC">
      <w:pPr>
        <w:pStyle w:val="Prrafodelista"/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memorias técnicas,</w:t>
      </w:r>
    </w:p>
    <w:p w14:paraId="4A6DDA0D" w14:textId="77777777" w:rsidR="00805CCC" w:rsidRDefault="00805CCC" w:rsidP="00805CCC">
      <w:pPr>
        <w:pStyle w:val="Prrafodelista"/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registros fotográficos,</w:t>
      </w:r>
    </w:p>
    <w:p w14:paraId="57833484" w14:textId="2FE0496E" w:rsidR="00805CCC" w:rsidRPr="00805CCC" w:rsidRDefault="00805CCC" w:rsidP="00805CCC">
      <w:pPr>
        <w:pStyle w:val="Prrafodelista"/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soportes de ejecución física y financiera.</w:t>
      </w:r>
    </w:p>
    <w:p w14:paraId="2DCC48FD" w14:textId="77777777" w:rsidR="00805CCC" w:rsidRPr="00805CCC" w:rsidRDefault="00805CCC" w:rsidP="00805CCC">
      <w:pPr>
        <w:spacing w:before="100" w:beforeAutospacing="1" w:after="100" w:afterAutospacing="1" w:line="240" w:lineRule="auto"/>
        <w:jc w:val="both"/>
        <w:outlineLvl w:val="1"/>
        <w:rPr>
          <w:rFonts w:ascii="Arial" w:hAnsi="Arial" w:cs="Arial"/>
          <w:b/>
          <w:bCs/>
          <w:sz w:val="24"/>
          <w:szCs w:val="24"/>
          <w:lang w:eastAsia="es-CO"/>
        </w:rPr>
      </w:pPr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>IV. INFORMACIÓN TÉCNICA Y DE PRIORIZACIÓN</w:t>
      </w:r>
    </w:p>
    <w:p w14:paraId="6F5784A9" w14:textId="77777777" w:rsidR="00805CCC" w:rsidRDefault="00805CCC" w:rsidP="00805CCC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>6.</w:t>
      </w:r>
      <w:r w:rsidRPr="00805CCC">
        <w:rPr>
          <w:rFonts w:ascii="Arial" w:hAnsi="Arial" w:cs="Arial"/>
          <w:sz w:val="24"/>
          <w:szCs w:val="24"/>
          <w:lang w:eastAsia="es-CO"/>
        </w:rPr>
        <w:t xml:space="preserve"> Relación de parques intervenidos durante las vigencias 2024, 2025 y lo corrido de 2026, indicando:</w:t>
      </w:r>
    </w:p>
    <w:p w14:paraId="0321792F" w14:textId="77777777" w:rsidR="00805CCC" w:rsidRDefault="00805CCC" w:rsidP="00805CCC">
      <w:pPr>
        <w:pStyle w:val="Prrafodelista"/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nombre,</w:t>
      </w:r>
    </w:p>
    <w:p w14:paraId="1DCBB872" w14:textId="77777777" w:rsidR="00805CCC" w:rsidRDefault="00805CCC" w:rsidP="00805CCC">
      <w:pPr>
        <w:pStyle w:val="Prrafodelista"/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código</w:t>
      </w:r>
      <w:r>
        <w:rPr>
          <w:rFonts w:ascii="Arial" w:hAnsi="Arial" w:cs="Arial"/>
          <w:sz w:val="24"/>
          <w:szCs w:val="24"/>
          <w:lang w:eastAsia="es-CO"/>
        </w:rPr>
        <w:t xml:space="preserve"> </w:t>
      </w:r>
      <w:r w:rsidRPr="00805CCC">
        <w:rPr>
          <w:rFonts w:ascii="Arial" w:hAnsi="Arial" w:cs="Arial"/>
          <w:sz w:val="24"/>
          <w:szCs w:val="24"/>
          <w:lang w:eastAsia="es-CO"/>
        </w:rPr>
        <w:t>IDRD,</w:t>
      </w:r>
    </w:p>
    <w:p w14:paraId="3E3F5D23" w14:textId="77777777" w:rsidR="00805CCC" w:rsidRDefault="00805CCC" w:rsidP="00805CCC">
      <w:pPr>
        <w:pStyle w:val="Prrafodelista"/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ubicación,</w:t>
      </w:r>
    </w:p>
    <w:p w14:paraId="2D5599DD" w14:textId="77777777" w:rsidR="00805CCC" w:rsidRDefault="00805CCC" w:rsidP="00805CCC">
      <w:pPr>
        <w:pStyle w:val="Prrafodelista"/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tipo de intervención,</w:t>
      </w:r>
    </w:p>
    <w:p w14:paraId="4A2DEBEE" w14:textId="77777777" w:rsidR="00805CCC" w:rsidRDefault="00805CCC" w:rsidP="00805CCC">
      <w:pPr>
        <w:pStyle w:val="Prrafodelista"/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estado actual,</w:t>
      </w:r>
    </w:p>
    <w:p w14:paraId="3C2DA2BA" w14:textId="77777777" w:rsidR="00805CCC" w:rsidRDefault="00805CCC" w:rsidP="00805CCC">
      <w:pPr>
        <w:pStyle w:val="Prrafodelista"/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porcentaje de ejecución,</w:t>
      </w:r>
    </w:p>
    <w:p w14:paraId="1118D7AC" w14:textId="042936F2" w:rsidR="00805CCC" w:rsidRPr="00805CCC" w:rsidRDefault="00805CCC" w:rsidP="00805CCC">
      <w:pPr>
        <w:pStyle w:val="Prrafodelista"/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mobiliario intervenido o instalado.</w:t>
      </w:r>
    </w:p>
    <w:p w14:paraId="01169916" w14:textId="77777777" w:rsidR="00805CCC" w:rsidRPr="00805CCC" w:rsidRDefault="00805CCC" w:rsidP="00805CCC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>7.</w:t>
      </w:r>
      <w:r w:rsidRPr="00805CCC">
        <w:rPr>
          <w:rFonts w:ascii="Arial" w:hAnsi="Arial" w:cs="Arial"/>
          <w:sz w:val="24"/>
          <w:szCs w:val="24"/>
          <w:lang w:eastAsia="es-CO"/>
        </w:rPr>
        <w:t xml:space="preserve"> Diagnósticos técnicos, criterios de priorización, matrices técnicas y soportes de participación ciudadana asociados a la selección de parques intervenidos.</w:t>
      </w:r>
    </w:p>
    <w:p w14:paraId="5AFB8BED" w14:textId="77777777" w:rsidR="00805CCC" w:rsidRPr="00805CCC" w:rsidRDefault="00805CCC" w:rsidP="00805CCC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>8.</w:t>
      </w:r>
      <w:r w:rsidRPr="00805CCC">
        <w:rPr>
          <w:rFonts w:ascii="Arial" w:hAnsi="Arial" w:cs="Arial"/>
          <w:sz w:val="24"/>
          <w:szCs w:val="24"/>
          <w:lang w:eastAsia="es-CO"/>
        </w:rPr>
        <w:t xml:space="preserve"> Información relacionada con intervenciones anteriores, garantías vigentes, pólizas de estabilidad y verificaciones efectuadas por la Entidad para evitar duplicidad de inversiones.</w:t>
      </w:r>
    </w:p>
    <w:p w14:paraId="04259B06" w14:textId="77777777" w:rsidR="00805CCC" w:rsidRPr="00805CCC" w:rsidRDefault="00805CCC" w:rsidP="00805CCC">
      <w:pPr>
        <w:spacing w:before="100" w:beforeAutospacing="1" w:after="100" w:afterAutospacing="1" w:line="240" w:lineRule="auto"/>
        <w:jc w:val="both"/>
        <w:outlineLvl w:val="1"/>
        <w:rPr>
          <w:rFonts w:ascii="Arial" w:hAnsi="Arial" w:cs="Arial"/>
          <w:b/>
          <w:bCs/>
          <w:sz w:val="24"/>
          <w:szCs w:val="24"/>
          <w:lang w:eastAsia="es-CO"/>
        </w:rPr>
      </w:pPr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>V. PUBLICIDAD Y GESTIÓN DOCUMENTAL EN SECOP II</w:t>
      </w:r>
    </w:p>
    <w:p w14:paraId="31B8F70B" w14:textId="77777777" w:rsidR="00805CCC" w:rsidRPr="00805CCC" w:rsidRDefault="00805CCC" w:rsidP="00805CCC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>9.</w:t>
      </w:r>
      <w:r w:rsidRPr="00805CCC">
        <w:rPr>
          <w:rFonts w:ascii="Arial" w:hAnsi="Arial" w:cs="Arial"/>
          <w:sz w:val="24"/>
          <w:szCs w:val="24"/>
          <w:lang w:eastAsia="es-CO"/>
        </w:rPr>
        <w:t xml:space="preserve"> Realizar el cargue inmediato en </w:t>
      </w:r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>SECOP II</w:t>
      </w:r>
      <w:r w:rsidRPr="00805CCC">
        <w:rPr>
          <w:rFonts w:ascii="Arial" w:hAnsi="Arial" w:cs="Arial"/>
          <w:sz w:val="24"/>
          <w:szCs w:val="24"/>
          <w:lang w:eastAsia="es-CO"/>
        </w:rPr>
        <w:t xml:space="preserve"> de toda la documentación relacionada con las metas, proyectos e intervenciones objeto de revisión que actualmente no repose en el expediente electrónico o no sea descargable y verificable en la plataforma.</w:t>
      </w:r>
    </w:p>
    <w:p w14:paraId="75EEABC9" w14:textId="77777777" w:rsidR="00805CCC" w:rsidRPr="00805CCC" w:rsidRDefault="00805CCC" w:rsidP="00805CCC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 xml:space="preserve">Finalmente, esta Personería considera pertinente recomendar a la Entidad fortalecer los mecanismos internos de gestión documental, publicidad contractual y trazabilidad técnica y administrativa en </w:t>
      </w:r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>SECOP II</w:t>
      </w:r>
      <w:r w:rsidRPr="00805CCC">
        <w:rPr>
          <w:rFonts w:ascii="Arial" w:hAnsi="Arial" w:cs="Arial"/>
          <w:sz w:val="24"/>
          <w:szCs w:val="24"/>
          <w:lang w:eastAsia="es-CO"/>
        </w:rPr>
        <w:t>, garantizando la carga completa, organizada, verificable y trazable de todos los documentos asociados a las distintas etapas de los procesos contractuales y metas relacionadas con parques vecinales y de bolsillo, facilitando con ello el ejercicio de vigilancia y control por parte de los organismos competentes y de la ciudadanía.</w:t>
      </w:r>
    </w:p>
    <w:p w14:paraId="60412DD0" w14:textId="77777777" w:rsidR="00805CCC" w:rsidRPr="00805CCC" w:rsidRDefault="00805CCC" w:rsidP="00805CCC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lastRenderedPageBreak/>
        <w:t>Lo anterior, teniendo en cuenta que el deber de publicidad y completitud documental del expediente contractual constituye una obligación propia de la Entidad Estatal dentro del marco normativo de la contratación pública y del principio de transparencia administrativa.</w:t>
      </w:r>
    </w:p>
    <w:p w14:paraId="3F875EB4" w14:textId="77777777" w:rsidR="00805CCC" w:rsidRPr="00805CCC" w:rsidRDefault="00805CCC" w:rsidP="00805CCC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 xml:space="preserve">La información requerida deberá ser remitida al correo institucional </w:t>
      </w:r>
      <w:hyperlink r:id="rId8" w:history="1">
        <w:r w:rsidRPr="00805CCC">
          <w:rPr>
            <w:rFonts w:ascii="Arial" w:hAnsi="Arial" w:cs="Arial"/>
            <w:b/>
            <w:bCs/>
            <w:color w:val="0000FF"/>
            <w:sz w:val="24"/>
            <w:szCs w:val="24"/>
            <w:u w:val="single"/>
            <w:lang w:eastAsia="es-CO"/>
          </w:rPr>
          <w:t>personeriaengativados@personeriabogota.gov.co</w:t>
        </w:r>
      </w:hyperlink>
      <w:r w:rsidRPr="00805CCC">
        <w:rPr>
          <w:rFonts w:ascii="Arial" w:hAnsi="Arial" w:cs="Arial"/>
          <w:sz w:val="24"/>
          <w:szCs w:val="24"/>
          <w:lang w:eastAsia="es-CO"/>
        </w:rPr>
        <w:t xml:space="preserve"> dentro de los </w:t>
      </w:r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>cinco (5) días hábiles</w:t>
      </w:r>
      <w:r w:rsidRPr="00805CCC">
        <w:rPr>
          <w:rFonts w:ascii="Arial" w:hAnsi="Arial" w:cs="Arial"/>
          <w:sz w:val="24"/>
          <w:szCs w:val="24"/>
          <w:lang w:eastAsia="es-CO"/>
        </w:rPr>
        <w:t xml:space="preserve"> siguientes al recibo del presente requerimiento, junto con los soportes documentales completos y legibles.</w:t>
      </w:r>
    </w:p>
    <w:p w14:paraId="4748E693" w14:textId="77777777" w:rsidR="00805CCC" w:rsidRPr="00805CCC" w:rsidRDefault="00805CCC" w:rsidP="00805CCC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Cordialmente,</w:t>
      </w:r>
    </w:p>
    <w:p w14:paraId="4A3992DE" w14:textId="77777777" w:rsidR="00805CCC" w:rsidRDefault="00805CCC" w:rsidP="00805CCC">
      <w:pPr>
        <w:spacing w:before="100" w:beforeAutospacing="1" w:after="100" w:afterAutospacing="1" w:line="240" w:lineRule="auto"/>
        <w:jc w:val="both"/>
        <w:rPr>
          <w:rFonts w:ascii="Arial" w:hAnsi="Arial" w:cs="Arial"/>
          <w:b/>
          <w:bCs/>
          <w:sz w:val="24"/>
          <w:szCs w:val="24"/>
          <w:lang w:eastAsia="es-CO"/>
        </w:rPr>
      </w:pPr>
    </w:p>
    <w:p w14:paraId="0B0141B0" w14:textId="77777777" w:rsidR="00805CCC" w:rsidRDefault="00805CCC" w:rsidP="00805CCC">
      <w:pPr>
        <w:spacing w:before="100" w:beforeAutospacing="1" w:after="100" w:afterAutospacing="1" w:line="240" w:lineRule="auto"/>
        <w:jc w:val="both"/>
        <w:rPr>
          <w:rFonts w:ascii="Arial" w:hAnsi="Arial" w:cs="Arial"/>
          <w:b/>
          <w:bCs/>
          <w:sz w:val="24"/>
          <w:szCs w:val="24"/>
          <w:lang w:eastAsia="es-CO"/>
        </w:rPr>
      </w:pPr>
    </w:p>
    <w:p w14:paraId="56782E30" w14:textId="77777777" w:rsidR="00805CCC" w:rsidRDefault="00805CCC" w:rsidP="00805CC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b/>
          <w:bCs/>
          <w:sz w:val="24"/>
          <w:szCs w:val="24"/>
          <w:lang w:eastAsia="es-CO"/>
        </w:rPr>
        <w:t>MÓNICA ALEJANDRA MUNCA CARDOZO</w:t>
      </w:r>
    </w:p>
    <w:p w14:paraId="72FC4104" w14:textId="75BC5E3D" w:rsidR="00805CCC" w:rsidRDefault="00805CCC" w:rsidP="00805CCC">
      <w:pPr>
        <w:spacing w:after="100" w:afterAutospacing="1" w:line="24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805CCC">
        <w:rPr>
          <w:rFonts w:ascii="Arial" w:hAnsi="Arial" w:cs="Arial"/>
          <w:sz w:val="24"/>
          <w:szCs w:val="24"/>
          <w:lang w:eastAsia="es-CO"/>
        </w:rPr>
        <w:t>Personera Local Engativá II</w:t>
      </w:r>
    </w:p>
    <w:p w14:paraId="05A8CC6D" w14:textId="3C430AA5" w:rsidR="00805CCC" w:rsidRPr="00805CCC" w:rsidRDefault="00805CCC" w:rsidP="00805CCC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16"/>
          <w:szCs w:val="16"/>
          <w:lang w:eastAsia="es-CO"/>
        </w:rPr>
      </w:pPr>
      <w:r w:rsidRPr="00805CCC">
        <w:rPr>
          <w:rFonts w:ascii="Arial" w:hAnsi="Arial" w:cs="Arial"/>
          <w:sz w:val="16"/>
          <w:szCs w:val="16"/>
          <w:lang w:eastAsia="es-CO"/>
        </w:rPr>
        <w:t xml:space="preserve">Elaboró: </w:t>
      </w:r>
      <w:r w:rsidRPr="00805CCC">
        <w:rPr>
          <w:rFonts w:ascii="Arial" w:hAnsi="Arial" w:cs="Arial"/>
          <w:b/>
          <w:bCs/>
          <w:sz w:val="16"/>
          <w:szCs w:val="16"/>
          <w:lang w:eastAsia="es-CO"/>
        </w:rPr>
        <w:t>David Felipe Colmenares Cárdenas – Abogado Contratista.</w:t>
      </w:r>
    </w:p>
    <w:p w14:paraId="46020ADF" w14:textId="5437716C" w:rsidR="004C0560" w:rsidRPr="00805CCC" w:rsidRDefault="004C0560" w:rsidP="00805CCC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</w:rPr>
      </w:pPr>
    </w:p>
    <w:sectPr w:rsidR="004C0560" w:rsidRPr="00805C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396" w:right="758" w:bottom="1701" w:left="1418" w:header="70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D0D876" w14:textId="77777777" w:rsidR="009F6BE2" w:rsidRDefault="009F6BE2">
      <w:pPr>
        <w:spacing w:after="0" w:line="240" w:lineRule="auto"/>
      </w:pPr>
      <w:r>
        <w:separator/>
      </w:r>
    </w:p>
  </w:endnote>
  <w:endnote w:type="continuationSeparator" w:id="0">
    <w:p w14:paraId="00C0D053" w14:textId="77777777" w:rsidR="009F6BE2" w:rsidRDefault="009F6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79093" w14:textId="77777777" w:rsidR="00807104" w:rsidRDefault="0080710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4A9328" w14:textId="77777777" w:rsidR="00807104" w:rsidRDefault="0050718B">
    <w:pPr>
      <w:pStyle w:val="Piedepgina"/>
      <w:tabs>
        <w:tab w:val="clear" w:pos="4419"/>
        <w:tab w:val="clear" w:pos="8838"/>
      </w:tabs>
      <w:ind w:left="-1701" w:right="-1652"/>
      <w:jc w:val="center"/>
    </w:pPr>
    <w:r>
      <w:rPr>
        <w:noProof/>
        <w:lang w:eastAsia="es-CO"/>
      </w:rPr>
      <w:drawing>
        <wp:inline distT="0" distB="0" distL="0" distR="0" wp14:anchorId="1EC66E5A" wp14:editId="3D843768">
          <wp:extent cx="7757795" cy="1080135"/>
          <wp:effectExtent l="0" t="0" r="0" b="0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57795" cy="1080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EFF12" w14:textId="77777777" w:rsidR="00807104" w:rsidRDefault="0080710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B42E50" w14:textId="77777777" w:rsidR="009F6BE2" w:rsidRDefault="009F6BE2">
      <w:pPr>
        <w:spacing w:after="0" w:line="240" w:lineRule="auto"/>
      </w:pPr>
      <w:r>
        <w:separator/>
      </w:r>
    </w:p>
  </w:footnote>
  <w:footnote w:type="continuationSeparator" w:id="0">
    <w:p w14:paraId="0054060D" w14:textId="77777777" w:rsidR="009F6BE2" w:rsidRDefault="009F6B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7978AB" w14:textId="77777777" w:rsidR="00807104" w:rsidRDefault="0080710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1EA73F" w14:textId="77777777" w:rsidR="00807104" w:rsidRDefault="0050718B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 wp14:anchorId="1930DD02" wp14:editId="029B66E1">
          <wp:simplePos x="0" y="0"/>
          <wp:positionH relativeFrom="column">
            <wp:posOffset>-683895</wp:posOffset>
          </wp:positionH>
          <wp:positionV relativeFrom="paragraph">
            <wp:posOffset>243840</wp:posOffset>
          </wp:positionV>
          <wp:extent cx="2599690" cy="1005840"/>
          <wp:effectExtent l="0" t="0" r="0" b="0"/>
          <wp:wrapNone/>
          <wp:docPr id="1" name="Imagen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99690" cy="1005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102E504" w14:textId="77777777" w:rsidR="00807104" w:rsidRDefault="0050718B">
    <w:pPr>
      <w:pStyle w:val="Encabezado"/>
      <w:tabs>
        <w:tab w:val="left" w:pos="3576"/>
      </w:tabs>
    </w:pPr>
    <w:r>
      <w:tab/>
    </w:r>
  </w:p>
  <w:tbl>
    <w:tblPr>
      <w:tblW w:w="5864" w:type="dxa"/>
      <w:tblInd w:w="358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922"/>
      <w:gridCol w:w="1942"/>
    </w:tblGrid>
    <w:tr w:rsidR="00807104" w14:paraId="1C097B2B" w14:textId="77777777">
      <w:trPr>
        <w:trHeight w:val="253"/>
      </w:trPr>
      <w:tc>
        <w:tcPr>
          <w:tcW w:w="3922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center"/>
          <w:hideMark/>
        </w:tcPr>
        <w:p w14:paraId="7718AF14" w14:textId="77777777" w:rsidR="00807104" w:rsidRDefault="0050718B">
          <w:pPr>
            <w:pStyle w:val="Sinespaciado"/>
            <w:rPr>
              <w:sz w:val="16"/>
            </w:rPr>
          </w:pPr>
          <w:r>
            <w:rPr>
              <w:sz w:val="16"/>
            </w:rPr>
            <w:t>R4D1C4D0_1</w:t>
          </w:r>
        </w:p>
      </w:tc>
      <w:tc>
        <w:tcPr>
          <w:tcW w:w="1942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center"/>
        </w:tcPr>
        <w:p w14:paraId="0901904C" w14:textId="77777777" w:rsidR="00807104" w:rsidRDefault="00807104">
          <w:pPr>
            <w:spacing w:after="0" w:line="240" w:lineRule="auto"/>
            <w:jc w:val="center"/>
            <w:rPr>
              <w:rFonts w:ascii="Arial" w:hAnsi="Arial"/>
              <w:color w:val="000000"/>
              <w:sz w:val="18"/>
              <w:lang w:eastAsia="es-CO"/>
            </w:rPr>
          </w:pPr>
        </w:p>
      </w:tc>
    </w:tr>
    <w:tr w:rsidR="00807104" w14:paraId="2DEB655F" w14:textId="77777777">
      <w:trPr>
        <w:trHeight w:val="150"/>
      </w:trPr>
      <w:tc>
        <w:tcPr>
          <w:tcW w:w="3922" w:type="dxa"/>
          <w:tcBorders>
            <w:top w:val="nil"/>
            <w:left w:val="single" w:sz="4" w:space="0" w:color="auto"/>
            <w:bottom w:val="nil"/>
            <w:right w:val="nil"/>
          </w:tcBorders>
          <w:noWrap/>
          <w:vAlign w:val="center"/>
          <w:hideMark/>
        </w:tcPr>
        <w:p w14:paraId="32C6E601" w14:textId="77777777" w:rsidR="00807104" w:rsidRDefault="0050718B">
          <w:pPr>
            <w:pStyle w:val="Sinespaciado"/>
            <w:rPr>
              <w:sz w:val="16"/>
            </w:rPr>
          </w:pPr>
          <w:r>
            <w:rPr>
              <w:sz w:val="16"/>
            </w:rPr>
            <w:t>R4D1C4D0_2</w:t>
          </w:r>
        </w:p>
      </w:tc>
      <w:tc>
        <w:tcPr>
          <w:tcW w:w="1942" w:type="dxa"/>
          <w:tcBorders>
            <w:top w:val="nil"/>
            <w:left w:val="nil"/>
            <w:bottom w:val="nil"/>
            <w:right w:val="single" w:sz="4" w:space="0" w:color="auto"/>
          </w:tcBorders>
          <w:hideMark/>
        </w:tcPr>
        <w:p w14:paraId="137295D9" w14:textId="77777777" w:rsidR="00807104" w:rsidRDefault="0050718B">
          <w:pPr>
            <w:spacing w:after="0" w:line="240" w:lineRule="auto"/>
            <w:jc w:val="center"/>
            <w:rPr>
              <w:rFonts w:ascii="Arial" w:hAnsi="Arial"/>
              <w:b/>
              <w:color w:val="000000"/>
              <w:sz w:val="16"/>
              <w:lang w:eastAsia="es-CO"/>
            </w:rPr>
          </w:pPr>
          <w:r>
            <w:rPr>
              <w:rFonts w:ascii="Arial" w:hAnsi="Arial"/>
              <w:b/>
              <w:color w:val="000000"/>
              <w:sz w:val="16"/>
              <w:lang w:val="es-MX" w:eastAsia="es-CO"/>
            </w:rPr>
            <w:t>R4D1C4D0_9</w:t>
          </w:r>
        </w:p>
      </w:tc>
    </w:tr>
    <w:tr w:rsidR="00807104" w14:paraId="7CA722C9" w14:textId="77777777">
      <w:trPr>
        <w:trHeight w:val="253"/>
      </w:trPr>
      <w:tc>
        <w:tcPr>
          <w:tcW w:w="3922" w:type="dxa"/>
          <w:tcBorders>
            <w:top w:val="nil"/>
            <w:left w:val="single" w:sz="4" w:space="0" w:color="auto"/>
            <w:bottom w:val="nil"/>
            <w:right w:val="nil"/>
          </w:tcBorders>
          <w:noWrap/>
          <w:vAlign w:val="center"/>
          <w:hideMark/>
        </w:tcPr>
        <w:p w14:paraId="3A9CC88D" w14:textId="77777777" w:rsidR="00807104" w:rsidRDefault="0050718B">
          <w:pPr>
            <w:pStyle w:val="Sinespaciado"/>
            <w:rPr>
              <w:sz w:val="16"/>
            </w:rPr>
          </w:pPr>
          <w:r>
            <w:rPr>
              <w:sz w:val="16"/>
            </w:rPr>
            <w:t>R4D1C4D0_3</w:t>
          </w:r>
        </w:p>
      </w:tc>
      <w:tc>
        <w:tcPr>
          <w:tcW w:w="1942" w:type="dxa"/>
          <w:vMerge w:val="restart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hideMark/>
        </w:tcPr>
        <w:p w14:paraId="2BC6974D" w14:textId="77777777" w:rsidR="00807104" w:rsidRDefault="0050718B">
          <w:pPr>
            <w:spacing w:after="0" w:line="240" w:lineRule="auto"/>
            <w:jc w:val="center"/>
            <w:rPr>
              <w:rFonts w:ascii="Arial" w:hAnsi="Arial"/>
              <w:color w:val="000000"/>
              <w:sz w:val="16"/>
              <w:lang w:eastAsia="es-CO"/>
            </w:rPr>
          </w:pPr>
          <w:r>
            <w:rPr>
              <w:rFonts w:ascii="Arial" w:hAnsi="Arial"/>
              <w:color w:val="000000"/>
              <w:sz w:val="16"/>
              <w:lang w:eastAsia="es-CO"/>
            </w:rPr>
            <w:t>QRC0D1G0</w:t>
          </w:r>
        </w:p>
      </w:tc>
    </w:tr>
    <w:tr w:rsidR="00807104" w14:paraId="2276C9D5" w14:textId="77777777">
      <w:trPr>
        <w:trHeight w:val="253"/>
      </w:trPr>
      <w:tc>
        <w:tcPr>
          <w:tcW w:w="3922" w:type="dxa"/>
          <w:tcBorders>
            <w:top w:val="nil"/>
            <w:left w:val="single" w:sz="4" w:space="0" w:color="auto"/>
            <w:bottom w:val="nil"/>
            <w:right w:val="nil"/>
          </w:tcBorders>
          <w:noWrap/>
          <w:vAlign w:val="center"/>
          <w:hideMark/>
        </w:tcPr>
        <w:p w14:paraId="32EE739A" w14:textId="77777777" w:rsidR="00807104" w:rsidRDefault="0050718B">
          <w:pPr>
            <w:pStyle w:val="Sinespaciado"/>
            <w:rPr>
              <w:sz w:val="16"/>
            </w:rPr>
          </w:pPr>
          <w:r>
            <w:rPr>
              <w:sz w:val="16"/>
            </w:rPr>
            <w:t>R4D1C4D0_4</w:t>
          </w:r>
        </w:p>
      </w:tc>
      <w:tc>
        <w:tcPr>
          <w:tcW w:w="1942" w:type="dxa"/>
          <w:vMerge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D5BB15" w14:textId="77777777" w:rsidR="00807104" w:rsidRDefault="00807104">
          <w:pPr>
            <w:spacing w:after="0" w:line="240" w:lineRule="auto"/>
            <w:rPr>
              <w:rFonts w:ascii="Arial" w:hAnsi="Arial"/>
              <w:color w:val="000000"/>
              <w:sz w:val="18"/>
              <w:lang w:eastAsia="es-CO"/>
            </w:rPr>
          </w:pPr>
        </w:p>
      </w:tc>
    </w:tr>
    <w:tr w:rsidR="00807104" w14:paraId="4EA9ACE7" w14:textId="77777777">
      <w:trPr>
        <w:trHeight w:val="253"/>
      </w:trPr>
      <w:tc>
        <w:tcPr>
          <w:tcW w:w="3922" w:type="dxa"/>
          <w:tcBorders>
            <w:top w:val="nil"/>
            <w:left w:val="single" w:sz="4" w:space="0" w:color="auto"/>
            <w:bottom w:val="nil"/>
            <w:right w:val="nil"/>
          </w:tcBorders>
          <w:noWrap/>
          <w:vAlign w:val="center"/>
          <w:hideMark/>
        </w:tcPr>
        <w:p w14:paraId="4229A282" w14:textId="77777777" w:rsidR="00807104" w:rsidRDefault="0050718B">
          <w:pPr>
            <w:pStyle w:val="Sinespaciado"/>
            <w:rPr>
              <w:sz w:val="16"/>
            </w:rPr>
          </w:pPr>
          <w:r>
            <w:rPr>
              <w:sz w:val="16"/>
            </w:rPr>
            <w:t>R4D1C4D0_5</w:t>
          </w:r>
        </w:p>
      </w:tc>
      <w:tc>
        <w:tcPr>
          <w:tcW w:w="1942" w:type="dxa"/>
          <w:vMerge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24C280F" w14:textId="77777777" w:rsidR="00807104" w:rsidRDefault="00807104">
          <w:pPr>
            <w:spacing w:after="0" w:line="240" w:lineRule="auto"/>
            <w:rPr>
              <w:rFonts w:ascii="Arial" w:hAnsi="Arial"/>
              <w:color w:val="000000"/>
              <w:sz w:val="18"/>
              <w:lang w:eastAsia="es-CO"/>
            </w:rPr>
          </w:pPr>
        </w:p>
      </w:tc>
    </w:tr>
    <w:tr w:rsidR="00807104" w14:paraId="5A58284E" w14:textId="77777777">
      <w:trPr>
        <w:trHeight w:val="150"/>
      </w:trPr>
      <w:tc>
        <w:tcPr>
          <w:tcW w:w="3922" w:type="dxa"/>
          <w:tcBorders>
            <w:top w:val="nil"/>
            <w:left w:val="single" w:sz="4" w:space="0" w:color="auto"/>
            <w:bottom w:val="nil"/>
            <w:right w:val="nil"/>
          </w:tcBorders>
          <w:noWrap/>
          <w:vAlign w:val="center"/>
          <w:hideMark/>
        </w:tcPr>
        <w:p w14:paraId="5E5AF182" w14:textId="77777777" w:rsidR="00807104" w:rsidRDefault="0050718B">
          <w:pPr>
            <w:pStyle w:val="Sinespaciado"/>
            <w:rPr>
              <w:sz w:val="16"/>
            </w:rPr>
          </w:pPr>
          <w:r>
            <w:rPr>
              <w:sz w:val="16"/>
            </w:rPr>
            <w:t>R4D1C4D0_6</w:t>
          </w:r>
        </w:p>
        <w:p w14:paraId="61EFEF07" w14:textId="77777777" w:rsidR="00807104" w:rsidRDefault="00807104">
          <w:pPr>
            <w:pStyle w:val="Sinespaciado"/>
            <w:rPr>
              <w:sz w:val="16"/>
            </w:rPr>
          </w:pPr>
        </w:p>
      </w:tc>
      <w:tc>
        <w:tcPr>
          <w:tcW w:w="1942" w:type="dxa"/>
          <w:vMerge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CB1C179" w14:textId="77777777" w:rsidR="00807104" w:rsidRDefault="00807104">
          <w:pPr>
            <w:spacing w:after="0" w:line="240" w:lineRule="auto"/>
            <w:rPr>
              <w:rFonts w:ascii="Arial" w:hAnsi="Arial"/>
              <w:color w:val="000000"/>
              <w:sz w:val="18"/>
              <w:lang w:eastAsia="es-CO"/>
            </w:rPr>
          </w:pPr>
        </w:p>
      </w:tc>
    </w:tr>
    <w:tr w:rsidR="00807104" w14:paraId="181DF190" w14:textId="77777777">
      <w:trPr>
        <w:trHeight w:val="150"/>
      </w:trPr>
      <w:tc>
        <w:tcPr>
          <w:tcW w:w="3922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noWrap/>
          <w:vAlign w:val="center"/>
        </w:tcPr>
        <w:p w14:paraId="030F2104" w14:textId="77777777" w:rsidR="00807104" w:rsidRDefault="0050718B">
          <w:pPr>
            <w:pStyle w:val="Sinespaciado"/>
            <w:rPr>
              <w:sz w:val="16"/>
            </w:rPr>
          </w:pPr>
          <w:r>
            <w:rPr>
              <w:sz w:val="16"/>
            </w:rPr>
            <w:t>R4D1C4D0_7</w:t>
          </w:r>
        </w:p>
      </w:tc>
      <w:tc>
        <w:tcPr>
          <w:tcW w:w="1942" w:type="dxa"/>
          <w:vMerge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76724069" w14:textId="77777777" w:rsidR="00807104" w:rsidRDefault="00807104">
          <w:pPr>
            <w:spacing w:after="0" w:line="240" w:lineRule="auto"/>
            <w:rPr>
              <w:rFonts w:ascii="Arial" w:hAnsi="Arial"/>
              <w:color w:val="000000"/>
              <w:sz w:val="18"/>
              <w:lang w:eastAsia="es-CO"/>
            </w:rPr>
          </w:pPr>
        </w:p>
      </w:tc>
    </w:tr>
  </w:tbl>
  <w:p w14:paraId="4FC8DDA1" w14:textId="77777777" w:rsidR="00807104" w:rsidRDefault="00807104">
    <w:pPr>
      <w:pStyle w:val="Encabezado"/>
      <w:tabs>
        <w:tab w:val="left" w:pos="357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D68232" w14:textId="77777777" w:rsidR="00807104" w:rsidRDefault="0080710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B7ADD"/>
    <w:multiLevelType w:val="multilevel"/>
    <w:tmpl w:val="671041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DA6CB1"/>
    <w:multiLevelType w:val="multilevel"/>
    <w:tmpl w:val="38A0D9B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8F7FDF"/>
    <w:multiLevelType w:val="multilevel"/>
    <w:tmpl w:val="AF8AD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116504"/>
    <w:multiLevelType w:val="hybridMultilevel"/>
    <w:tmpl w:val="4CFA92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65C19"/>
    <w:multiLevelType w:val="hybridMultilevel"/>
    <w:tmpl w:val="DE9818DC"/>
    <w:lvl w:ilvl="0" w:tplc="24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3E916F1"/>
    <w:multiLevelType w:val="hybridMultilevel"/>
    <w:tmpl w:val="A01A97D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745D68"/>
    <w:multiLevelType w:val="multilevel"/>
    <w:tmpl w:val="68760C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806BEA"/>
    <w:multiLevelType w:val="multilevel"/>
    <w:tmpl w:val="69601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883A63"/>
    <w:multiLevelType w:val="multilevel"/>
    <w:tmpl w:val="6EF2D1B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7C34DD"/>
    <w:multiLevelType w:val="multilevel"/>
    <w:tmpl w:val="64D269F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6664C0"/>
    <w:multiLevelType w:val="multilevel"/>
    <w:tmpl w:val="EE68B60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2D4D37"/>
    <w:multiLevelType w:val="multilevel"/>
    <w:tmpl w:val="E07A49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E4281A"/>
    <w:multiLevelType w:val="multilevel"/>
    <w:tmpl w:val="71D68B0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155ECF"/>
    <w:multiLevelType w:val="hybridMultilevel"/>
    <w:tmpl w:val="630C51D0"/>
    <w:lvl w:ilvl="0" w:tplc="32C87BA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C04CA4"/>
    <w:multiLevelType w:val="hybridMultilevel"/>
    <w:tmpl w:val="DC82FFD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B470CE"/>
    <w:multiLevelType w:val="multilevel"/>
    <w:tmpl w:val="CD7EE9D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87190A"/>
    <w:multiLevelType w:val="multilevel"/>
    <w:tmpl w:val="AE7EA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3E4FCB"/>
    <w:multiLevelType w:val="hybridMultilevel"/>
    <w:tmpl w:val="72AA44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6C63E7"/>
    <w:multiLevelType w:val="multilevel"/>
    <w:tmpl w:val="AEA437F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2E0937"/>
    <w:multiLevelType w:val="multilevel"/>
    <w:tmpl w:val="48B24E5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E62EF1"/>
    <w:multiLevelType w:val="multilevel"/>
    <w:tmpl w:val="1A409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253360A"/>
    <w:multiLevelType w:val="hybridMultilevel"/>
    <w:tmpl w:val="A9E8C4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E0411F"/>
    <w:multiLevelType w:val="hybridMultilevel"/>
    <w:tmpl w:val="089001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CB09D1"/>
    <w:multiLevelType w:val="hybridMultilevel"/>
    <w:tmpl w:val="8ACE79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D4956"/>
    <w:multiLevelType w:val="multilevel"/>
    <w:tmpl w:val="4012470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E566F41"/>
    <w:multiLevelType w:val="multilevel"/>
    <w:tmpl w:val="B866D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696C24"/>
    <w:multiLevelType w:val="multilevel"/>
    <w:tmpl w:val="EF589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7C32317"/>
    <w:multiLevelType w:val="multilevel"/>
    <w:tmpl w:val="C160284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D26C0D"/>
    <w:multiLevelType w:val="multilevel"/>
    <w:tmpl w:val="FCE45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91B78"/>
    <w:multiLevelType w:val="hybridMultilevel"/>
    <w:tmpl w:val="7D6AAA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E37905"/>
    <w:multiLevelType w:val="hybridMultilevel"/>
    <w:tmpl w:val="EFF2CE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54051B"/>
    <w:multiLevelType w:val="multilevel"/>
    <w:tmpl w:val="3DCAF7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BF5B7E"/>
    <w:multiLevelType w:val="hybridMultilevel"/>
    <w:tmpl w:val="4E96255A"/>
    <w:lvl w:ilvl="0" w:tplc="24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61FB2ECA"/>
    <w:multiLevelType w:val="hybridMultilevel"/>
    <w:tmpl w:val="72C683A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371DA8"/>
    <w:multiLevelType w:val="multilevel"/>
    <w:tmpl w:val="FAD8DD6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9232C18"/>
    <w:multiLevelType w:val="hybridMultilevel"/>
    <w:tmpl w:val="BA887F2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B74749"/>
    <w:multiLevelType w:val="hybridMultilevel"/>
    <w:tmpl w:val="FCBEAC6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8E393C"/>
    <w:multiLevelType w:val="multilevel"/>
    <w:tmpl w:val="FDCADEF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36007E2"/>
    <w:multiLevelType w:val="hybridMultilevel"/>
    <w:tmpl w:val="5074FB0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4361560"/>
    <w:multiLevelType w:val="multilevel"/>
    <w:tmpl w:val="4B3009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4BE7008"/>
    <w:multiLevelType w:val="multilevel"/>
    <w:tmpl w:val="63A2926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925FA6"/>
    <w:multiLevelType w:val="multilevel"/>
    <w:tmpl w:val="4DDECC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8286523"/>
    <w:multiLevelType w:val="hybridMultilevel"/>
    <w:tmpl w:val="851E5F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6A54D7"/>
    <w:multiLevelType w:val="multilevel"/>
    <w:tmpl w:val="FA1CCF6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D894862"/>
    <w:multiLevelType w:val="hybridMultilevel"/>
    <w:tmpl w:val="5636BB0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6D6247"/>
    <w:multiLevelType w:val="multilevel"/>
    <w:tmpl w:val="21A4E96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70463672">
    <w:abstractNumId w:val="36"/>
  </w:num>
  <w:num w:numId="2" w16cid:durableId="1929002970">
    <w:abstractNumId w:val="13"/>
  </w:num>
  <w:num w:numId="3" w16cid:durableId="1248926479">
    <w:abstractNumId w:val="29"/>
  </w:num>
  <w:num w:numId="4" w16cid:durableId="1027020319">
    <w:abstractNumId w:val="17"/>
  </w:num>
  <w:num w:numId="5" w16cid:durableId="788551851">
    <w:abstractNumId w:val="28"/>
  </w:num>
  <w:num w:numId="6" w16cid:durableId="1500273883">
    <w:abstractNumId w:val="31"/>
  </w:num>
  <w:num w:numId="7" w16cid:durableId="363752555">
    <w:abstractNumId w:val="40"/>
  </w:num>
  <w:num w:numId="8" w16cid:durableId="1731415172">
    <w:abstractNumId w:val="10"/>
  </w:num>
  <w:num w:numId="9" w16cid:durableId="1925842534">
    <w:abstractNumId w:val="7"/>
  </w:num>
  <w:num w:numId="10" w16cid:durableId="1729260561">
    <w:abstractNumId w:val="9"/>
  </w:num>
  <w:num w:numId="11" w16cid:durableId="1298687668">
    <w:abstractNumId w:val="12"/>
  </w:num>
  <w:num w:numId="12" w16cid:durableId="1648968872">
    <w:abstractNumId w:val="25"/>
  </w:num>
  <w:num w:numId="13" w16cid:durableId="1083340137">
    <w:abstractNumId w:val="8"/>
  </w:num>
  <w:num w:numId="14" w16cid:durableId="1256863795">
    <w:abstractNumId w:val="45"/>
  </w:num>
  <w:num w:numId="15" w16cid:durableId="769468824">
    <w:abstractNumId w:val="24"/>
  </w:num>
  <w:num w:numId="16" w16cid:durableId="1209151401">
    <w:abstractNumId w:val="4"/>
  </w:num>
  <w:num w:numId="17" w16cid:durableId="2015916225">
    <w:abstractNumId w:val="32"/>
  </w:num>
  <w:num w:numId="18" w16cid:durableId="1037781337">
    <w:abstractNumId w:val="5"/>
  </w:num>
  <w:num w:numId="19" w16cid:durableId="766853824">
    <w:abstractNumId w:val="3"/>
  </w:num>
  <w:num w:numId="20" w16cid:durableId="1121413259">
    <w:abstractNumId w:val="33"/>
  </w:num>
  <w:num w:numId="21" w16cid:durableId="1023820300">
    <w:abstractNumId w:val="44"/>
  </w:num>
  <w:num w:numId="22" w16cid:durableId="650525212">
    <w:abstractNumId w:val="38"/>
  </w:num>
  <w:num w:numId="23" w16cid:durableId="901332101">
    <w:abstractNumId w:val="35"/>
  </w:num>
  <w:num w:numId="24" w16cid:durableId="1893420090">
    <w:abstractNumId w:val="2"/>
  </w:num>
  <w:num w:numId="25" w16cid:durableId="1662275401">
    <w:abstractNumId w:val="6"/>
  </w:num>
  <w:num w:numId="26" w16cid:durableId="349457562">
    <w:abstractNumId w:val="39"/>
  </w:num>
  <w:num w:numId="27" w16cid:durableId="687875521">
    <w:abstractNumId w:val="0"/>
  </w:num>
  <w:num w:numId="28" w16cid:durableId="393938573">
    <w:abstractNumId w:val="11"/>
  </w:num>
  <w:num w:numId="29" w16cid:durableId="319424880">
    <w:abstractNumId w:val="1"/>
  </w:num>
  <w:num w:numId="30" w16cid:durableId="955454430">
    <w:abstractNumId w:val="19"/>
  </w:num>
  <w:num w:numId="31" w16cid:durableId="9334385">
    <w:abstractNumId w:val="26"/>
  </w:num>
  <w:num w:numId="32" w16cid:durableId="1493370008">
    <w:abstractNumId w:val="18"/>
  </w:num>
  <w:num w:numId="33" w16cid:durableId="1023896698">
    <w:abstractNumId w:val="37"/>
  </w:num>
  <w:num w:numId="34" w16cid:durableId="162741267">
    <w:abstractNumId w:val="20"/>
  </w:num>
  <w:num w:numId="35" w16cid:durableId="628628410">
    <w:abstractNumId w:val="34"/>
  </w:num>
  <w:num w:numId="36" w16cid:durableId="1980379683">
    <w:abstractNumId w:val="16"/>
  </w:num>
  <w:num w:numId="37" w16cid:durableId="1414863531">
    <w:abstractNumId w:val="41"/>
  </w:num>
  <w:num w:numId="38" w16cid:durableId="1519732029">
    <w:abstractNumId w:val="27"/>
  </w:num>
  <w:num w:numId="39" w16cid:durableId="1137794901">
    <w:abstractNumId w:val="15"/>
  </w:num>
  <w:num w:numId="40" w16cid:durableId="192960607">
    <w:abstractNumId w:val="43"/>
  </w:num>
  <w:num w:numId="41" w16cid:durableId="1758209401">
    <w:abstractNumId w:val="23"/>
  </w:num>
  <w:num w:numId="42" w16cid:durableId="208343832">
    <w:abstractNumId w:val="21"/>
  </w:num>
  <w:num w:numId="43" w16cid:durableId="1348559208">
    <w:abstractNumId w:val="14"/>
  </w:num>
  <w:num w:numId="44" w16cid:durableId="1033656731">
    <w:abstractNumId w:val="30"/>
  </w:num>
  <w:num w:numId="45" w16cid:durableId="735518496">
    <w:abstractNumId w:val="22"/>
  </w:num>
  <w:num w:numId="46" w16cid:durableId="1200053220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104"/>
    <w:rsid w:val="00061975"/>
    <w:rsid w:val="00064707"/>
    <w:rsid w:val="000C1A47"/>
    <w:rsid w:val="001C4052"/>
    <w:rsid w:val="00334838"/>
    <w:rsid w:val="003618AB"/>
    <w:rsid w:val="004C0560"/>
    <w:rsid w:val="0050718B"/>
    <w:rsid w:val="006C4C48"/>
    <w:rsid w:val="007237EC"/>
    <w:rsid w:val="007A6161"/>
    <w:rsid w:val="00800D97"/>
    <w:rsid w:val="00805CCC"/>
    <w:rsid w:val="00807104"/>
    <w:rsid w:val="00874957"/>
    <w:rsid w:val="0095208B"/>
    <w:rsid w:val="009F6BE2"/>
    <w:rsid w:val="00B52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E9C93"/>
  <w15:docId w15:val="{DC2AD6A5-1A2C-4944-9BF0-372E81A3E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sz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  <w:spacing w:after="0" w:line="240" w:lineRule="auto"/>
    </w:pPr>
  </w:style>
  <w:style w:type="paragraph" w:styleId="Textodeglobo">
    <w:name w:val="Balloon Text"/>
    <w:basedOn w:val="Normal"/>
    <w:link w:val="TextodegloboCar"/>
    <w:semiHidden/>
    <w:pPr>
      <w:spacing w:after="0" w:line="240" w:lineRule="auto"/>
    </w:pPr>
    <w:rPr>
      <w:rFonts w:ascii="Tahoma" w:hAnsi="Tahoma"/>
      <w:sz w:val="16"/>
    </w:rPr>
  </w:style>
  <w:style w:type="paragraph" w:styleId="Textoindependiente">
    <w:name w:val="Body Text"/>
    <w:basedOn w:val="Normal"/>
    <w:link w:val="TextoindependienteCar"/>
    <w:semiHidden/>
    <w:pPr>
      <w:spacing w:after="0" w:line="240" w:lineRule="auto"/>
      <w:jc w:val="both"/>
    </w:pPr>
    <w:rPr>
      <w:rFonts w:ascii="Arial" w:hAnsi="Arial"/>
      <w:sz w:val="24"/>
      <w:lang w:val="es-ES" w:eastAsia="es-ES"/>
    </w:rPr>
  </w:style>
  <w:style w:type="paragraph" w:styleId="Sinespaciado">
    <w:name w:val="No Spacing"/>
    <w:qFormat/>
    <w:pPr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rPr>
      <w:color w:val="0000FF"/>
      <w:u w:val="single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customStyle="1" w:styleId="TextodegloboCar">
    <w:name w:val="Texto de globo Car"/>
    <w:basedOn w:val="Fuentedeprrafopredeter"/>
    <w:link w:val="Textodeglobo"/>
    <w:semiHidden/>
    <w:rPr>
      <w:rFonts w:ascii="Tahoma" w:hAnsi="Tahoma"/>
      <w:sz w:val="16"/>
    </w:rPr>
  </w:style>
  <w:style w:type="character" w:customStyle="1" w:styleId="TextoindependienteCar">
    <w:name w:val="Texto independiente Car"/>
    <w:basedOn w:val="Fuentedeprrafopredeter"/>
    <w:link w:val="Textoindependiente"/>
    <w:semiHidden/>
    <w:rPr>
      <w:rFonts w:ascii="Arial" w:hAnsi="Arial"/>
      <w:sz w:val="24"/>
      <w:lang w:val="es-ES" w:eastAsia="es-ES"/>
    </w:rPr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concuadrcula">
    <w:name w:val="Table Grid"/>
    <w:basedOn w:val="Tablanormal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selectedend">
    <w:name w:val="isselectedend"/>
    <w:basedOn w:val="Normal"/>
    <w:rsid w:val="007A61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7A6161"/>
  </w:style>
  <w:style w:type="paragraph" w:customStyle="1" w:styleId="paragraph">
    <w:name w:val="paragraph"/>
    <w:basedOn w:val="Normal"/>
    <w:rsid w:val="007A61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7A6161"/>
  </w:style>
  <w:style w:type="paragraph" w:styleId="Prrafodelista">
    <w:name w:val="List Paragraph"/>
    <w:basedOn w:val="Normal"/>
    <w:uiPriority w:val="34"/>
    <w:qFormat/>
    <w:rsid w:val="007A616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NormalWeb">
    <w:name w:val="Normal (Web)"/>
    <w:basedOn w:val="Normal"/>
    <w:uiPriority w:val="99"/>
    <w:unhideWhenUsed/>
    <w:rsid w:val="007A61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4C05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3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rsoneriaengativados@personeriabogota.gov.co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cdi.engativa@gobiernobogota.gov.co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1072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Eugenia Tovar Rojas</dc:creator>
  <cp:lastModifiedBy>david felipe colmenares cardenas</cp:lastModifiedBy>
  <cp:revision>9</cp:revision>
  <dcterms:created xsi:type="dcterms:W3CDTF">2026-03-18T19:31:00Z</dcterms:created>
  <dcterms:modified xsi:type="dcterms:W3CDTF">2026-05-27T16:23:00Z</dcterms:modified>
</cp:coreProperties>
</file>